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D3" w:rsidRDefault="00731FD3" w:rsidP="00257E84">
      <w:pPr>
        <w:jc w:val="center"/>
        <w:rPr>
          <w:b/>
          <w:bCs/>
          <w:u w:val="single"/>
        </w:rPr>
      </w:pPr>
    </w:p>
    <w:p w:rsidR="00257E84" w:rsidRPr="00061F78" w:rsidRDefault="00257E84" w:rsidP="00257E84">
      <w:pPr>
        <w:jc w:val="center"/>
        <w:rPr>
          <w:rFonts w:ascii="Arial" w:hAnsi="Arial" w:cs="Arial"/>
          <w:b/>
          <w:bCs/>
          <w:u w:val="single"/>
        </w:rPr>
      </w:pPr>
      <w:r w:rsidRPr="00061F78">
        <w:rPr>
          <w:rFonts w:ascii="Arial" w:hAnsi="Arial" w:cs="Arial"/>
          <w:b/>
          <w:bCs/>
          <w:u w:val="single"/>
        </w:rPr>
        <w:t>Policy on Mild Traumatic Brain Injury</w:t>
      </w:r>
    </w:p>
    <w:p w:rsidR="00257E84" w:rsidRPr="00061F78" w:rsidRDefault="00257E84" w:rsidP="00257E84">
      <w:pPr>
        <w:rPr>
          <w:rFonts w:ascii="Arial" w:hAnsi="Arial" w:cs="Arial"/>
          <w:b/>
          <w:sz w:val="20"/>
          <w:szCs w:val="20"/>
        </w:rPr>
      </w:pPr>
    </w:p>
    <w:p w:rsidR="00257E84" w:rsidRPr="00061F78" w:rsidRDefault="00257E84" w:rsidP="00257E84">
      <w:pPr>
        <w:rPr>
          <w:rFonts w:ascii="Arial" w:hAnsi="Arial" w:cs="Arial"/>
          <w:b/>
          <w:sz w:val="20"/>
          <w:szCs w:val="20"/>
        </w:rPr>
      </w:pPr>
      <w:r w:rsidRPr="00061F78">
        <w:rPr>
          <w:rFonts w:ascii="Arial" w:hAnsi="Arial" w:cs="Arial"/>
          <w:b/>
          <w:sz w:val="20"/>
          <w:szCs w:val="20"/>
        </w:rPr>
        <w:t>Policy:</w:t>
      </w:r>
    </w:p>
    <w:p w:rsidR="00257E84" w:rsidRPr="00061F78" w:rsidRDefault="00257E84" w:rsidP="00257E84">
      <w:p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>All athletes sustaining a mild traumatic brain injury (mTBI) should be thoroughly examined and closely monitored to determine nature and severity of injury and appropriate course of treatment.</w:t>
      </w:r>
    </w:p>
    <w:p w:rsidR="00257E84" w:rsidRPr="00061F78" w:rsidRDefault="00257E84" w:rsidP="00257E8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7E84" w:rsidRPr="00061F78" w:rsidRDefault="00257E84" w:rsidP="00257E8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61F78">
        <w:rPr>
          <w:rFonts w:ascii="Arial" w:hAnsi="Arial" w:cs="Arial"/>
          <w:b/>
          <w:bCs/>
          <w:color w:val="000000"/>
          <w:sz w:val="20"/>
          <w:szCs w:val="20"/>
        </w:rPr>
        <w:t>Procedure:</w:t>
      </w:r>
    </w:p>
    <w:p w:rsidR="00257E84" w:rsidRDefault="00257E84" w:rsidP="00EF7A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>The athletic trainer (AT) will perform a complete initial mTBI evaluation</w:t>
      </w:r>
      <w:r w:rsidR="00EF7A7A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</w:t>
      </w:r>
      <w:r w:rsidR="00EF7A7A" w:rsidRPr="00EF7A7A">
        <w:rPr>
          <w:rFonts w:ascii="Arial" w:hAnsi="Arial" w:cs="Arial"/>
          <w:color w:val="231F20"/>
          <w:sz w:val="20"/>
          <w:szCs w:val="20"/>
        </w:rPr>
        <w:t xml:space="preserve">The player should not be left alone following the injury, and serial monitoring for deterioration is </w:t>
      </w:r>
      <w:r w:rsidR="00EF7A7A">
        <w:rPr>
          <w:rFonts w:ascii="Arial" w:hAnsi="Arial" w:cs="Arial"/>
          <w:color w:val="231F20"/>
          <w:sz w:val="20"/>
          <w:szCs w:val="20"/>
        </w:rPr>
        <w:t xml:space="preserve">performed </w:t>
      </w:r>
      <w:r w:rsidRPr="00061F78">
        <w:rPr>
          <w:rFonts w:ascii="Arial" w:hAnsi="Arial" w:cs="Arial"/>
          <w:sz w:val="20"/>
          <w:szCs w:val="20"/>
        </w:rPr>
        <w:t xml:space="preserve">until he/she leaves the care of the on-site AT.  Follow-up evaluations, either in person or by phone, should be performed until the athlete </w:t>
      </w:r>
      <w:r w:rsidR="00BE29E6">
        <w:rPr>
          <w:rFonts w:ascii="Arial" w:hAnsi="Arial" w:cs="Arial"/>
          <w:sz w:val="20"/>
          <w:szCs w:val="20"/>
        </w:rPr>
        <w:t>is</w:t>
      </w:r>
      <w:r w:rsidRPr="00061F78">
        <w:rPr>
          <w:rFonts w:ascii="Arial" w:hAnsi="Arial" w:cs="Arial"/>
          <w:sz w:val="20"/>
          <w:szCs w:val="20"/>
        </w:rPr>
        <w:t xml:space="preserve"> asymptomatic.  </w:t>
      </w:r>
    </w:p>
    <w:p w:rsidR="00261796" w:rsidRPr="00061F78" w:rsidRDefault="00261796" w:rsidP="00EF7A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61796" w:rsidRPr="00061F78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456AE8" w:rsidRDefault="00456AE8" w:rsidP="00456AE8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C91AD9">
        <w:rPr>
          <w:rFonts w:ascii="Arial" w:hAnsi="Arial" w:cs="Arial"/>
          <w:sz w:val="20"/>
          <w:szCs w:val="20"/>
        </w:rPr>
        <w:t>No athlete, regardless of age, will be allowed to return to play on the same day as initial mTBI.</w:t>
      </w:r>
    </w:p>
    <w:p w:rsidR="000B108F" w:rsidRDefault="000B108F">
      <w:pPr>
        <w:rPr>
          <w:rFonts w:ascii="Arial" w:hAnsi="Arial" w:cs="Arial"/>
          <w:sz w:val="20"/>
          <w:szCs w:val="20"/>
        </w:rPr>
      </w:pPr>
    </w:p>
    <w:p w:rsidR="00A50335" w:rsidRDefault="00A50335" w:rsidP="00A50335">
      <w:pPr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 xml:space="preserve">Each athlete sustaining </w:t>
      </w:r>
      <w:r w:rsidR="00731FD3" w:rsidRPr="00061F78">
        <w:rPr>
          <w:rFonts w:ascii="Arial" w:hAnsi="Arial" w:cs="Arial"/>
          <w:color w:val="000000"/>
          <w:sz w:val="20"/>
          <w:szCs w:val="20"/>
        </w:rPr>
        <w:t>an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mTBI will be tested by the on-site AT with the Sport Concussion Assessment Tool </w:t>
      </w:r>
      <w:r w:rsidR="00661081">
        <w:rPr>
          <w:rFonts w:ascii="Arial" w:hAnsi="Arial" w:cs="Arial"/>
          <w:color w:val="000000"/>
          <w:sz w:val="20"/>
          <w:szCs w:val="20"/>
        </w:rPr>
        <w:t>5</w:t>
      </w:r>
      <w:r w:rsidR="00EF7A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1F78">
        <w:rPr>
          <w:rFonts w:ascii="Arial" w:hAnsi="Arial" w:cs="Arial"/>
          <w:color w:val="000000"/>
          <w:sz w:val="20"/>
          <w:szCs w:val="20"/>
        </w:rPr>
        <w:t>(SCAT</w:t>
      </w:r>
      <w:r w:rsidR="00661081">
        <w:rPr>
          <w:rFonts w:ascii="Arial" w:hAnsi="Arial" w:cs="Arial"/>
          <w:color w:val="000000"/>
          <w:sz w:val="20"/>
          <w:szCs w:val="20"/>
        </w:rPr>
        <w:t>5</w:t>
      </w:r>
      <w:r w:rsidR="0094006D">
        <w:rPr>
          <w:rFonts w:ascii="Arial" w:hAnsi="Arial" w:cs="Arial"/>
          <w:color w:val="000000"/>
          <w:sz w:val="20"/>
          <w:szCs w:val="20"/>
        </w:rPr>
        <w:t xml:space="preserve">).  It is recommended to obtain a </w:t>
      </w:r>
      <w:r w:rsidRPr="00061F78">
        <w:rPr>
          <w:rFonts w:ascii="Arial" w:hAnsi="Arial" w:cs="Arial"/>
          <w:color w:val="000000"/>
          <w:sz w:val="20"/>
          <w:szCs w:val="20"/>
        </w:rPr>
        <w:t>SCAT</w:t>
      </w:r>
      <w:r w:rsidR="00661081">
        <w:rPr>
          <w:rFonts w:ascii="Arial" w:hAnsi="Arial" w:cs="Arial"/>
          <w:color w:val="000000"/>
          <w:sz w:val="20"/>
          <w:szCs w:val="20"/>
        </w:rPr>
        <w:t>5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</w:t>
      </w:r>
      <w:r w:rsidR="0094006D">
        <w:rPr>
          <w:rFonts w:ascii="Arial" w:hAnsi="Arial" w:cs="Arial"/>
          <w:color w:val="000000"/>
          <w:sz w:val="20"/>
          <w:szCs w:val="20"/>
        </w:rPr>
        <w:t>test within 1-2 days following the initial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injury. In cases where the AT </w:t>
      </w:r>
      <w:r w:rsidR="00661081">
        <w:rPr>
          <w:rFonts w:ascii="Arial" w:hAnsi="Arial" w:cs="Arial"/>
          <w:color w:val="000000"/>
          <w:sz w:val="20"/>
          <w:szCs w:val="20"/>
        </w:rPr>
        <w:t>is not able to complete the SCAT5 w</w:t>
      </w:r>
      <w:r w:rsidR="0094006D">
        <w:rPr>
          <w:rFonts w:ascii="Arial" w:hAnsi="Arial" w:cs="Arial"/>
          <w:color w:val="000000"/>
          <w:sz w:val="20"/>
          <w:szCs w:val="20"/>
        </w:rPr>
        <w:t>ithin 1-2 days following the injury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, the on-site AT will perform a complete </w:t>
      </w:r>
      <w:r w:rsidR="002622B1">
        <w:rPr>
          <w:rFonts w:ascii="Arial" w:hAnsi="Arial" w:cs="Arial"/>
          <w:color w:val="000000"/>
          <w:sz w:val="20"/>
          <w:szCs w:val="20"/>
        </w:rPr>
        <w:t>SCAT5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on the first day the athlete </w:t>
      </w:r>
      <w:r w:rsidR="00117D98">
        <w:rPr>
          <w:rFonts w:ascii="Arial" w:hAnsi="Arial" w:cs="Arial"/>
          <w:color w:val="000000"/>
          <w:sz w:val="20"/>
          <w:szCs w:val="20"/>
        </w:rPr>
        <w:t>returns to the athletic training room.</w:t>
      </w:r>
    </w:p>
    <w:p w:rsidR="00F55130" w:rsidRDefault="00F55130" w:rsidP="00F55130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456AE8" w:rsidRDefault="00456AE8" w:rsidP="00456AE8">
      <w:pPr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 xml:space="preserve">The AT will provide the Mercy Sports Medicine </w:t>
      </w:r>
      <w:r w:rsidRPr="00061F78">
        <w:rPr>
          <w:rFonts w:ascii="Arial" w:hAnsi="Arial" w:cs="Arial"/>
          <w:i/>
          <w:iCs/>
          <w:color w:val="000000"/>
          <w:sz w:val="20"/>
          <w:szCs w:val="20"/>
        </w:rPr>
        <w:t>Home Care for Head Injuries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sheet to the parent/guardian for appropriate delayed referrals.  If communication with the parent/guardian is not possible, then the head coach and/or school administration should be fully educated on the injury and recommended home care.</w:t>
      </w:r>
    </w:p>
    <w:p w:rsidR="00261796" w:rsidRPr="00061F78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257E84" w:rsidRDefault="00257E84" w:rsidP="00257E84">
      <w:pPr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>The on-site AT will document presence</w:t>
      </w:r>
      <w:r w:rsidR="007B4284">
        <w:rPr>
          <w:rFonts w:ascii="Arial" w:hAnsi="Arial" w:cs="Arial"/>
          <w:color w:val="000000"/>
          <w:sz w:val="20"/>
          <w:szCs w:val="20"/>
        </w:rPr>
        <w:t>, severity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and duration of symptoms on the </w:t>
      </w:r>
      <w:r w:rsidR="00177304">
        <w:rPr>
          <w:rFonts w:ascii="Arial" w:hAnsi="Arial" w:cs="Arial"/>
          <w:color w:val="000000"/>
          <w:sz w:val="20"/>
          <w:szCs w:val="20"/>
        </w:rPr>
        <w:t xml:space="preserve">Graded Symptom Checklist, within the </w:t>
      </w:r>
      <w:r w:rsidR="00EA4384">
        <w:rPr>
          <w:rFonts w:ascii="Arial" w:hAnsi="Arial" w:cs="Arial"/>
          <w:color w:val="000000"/>
          <w:sz w:val="20"/>
          <w:szCs w:val="20"/>
        </w:rPr>
        <w:t>SCAT</w:t>
      </w:r>
      <w:r w:rsidR="00661081">
        <w:rPr>
          <w:rFonts w:ascii="Arial" w:hAnsi="Arial" w:cs="Arial"/>
          <w:color w:val="000000"/>
          <w:sz w:val="20"/>
          <w:szCs w:val="20"/>
        </w:rPr>
        <w:t>5</w:t>
      </w:r>
      <w:r w:rsidR="00177304">
        <w:rPr>
          <w:rFonts w:ascii="Arial" w:hAnsi="Arial" w:cs="Arial"/>
          <w:color w:val="000000"/>
          <w:sz w:val="20"/>
          <w:szCs w:val="20"/>
        </w:rPr>
        <w:t>,</w:t>
      </w:r>
      <w:r w:rsidR="00EA4384">
        <w:rPr>
          <w:rFonts w:ascii="Arial" w:hAnsi="Arial" w:cs="Arial"/>
          <w:color w:val="000000"/>
          <w:sz w:val="20"/>
          <w:szCs w:val="20"/>
        </w:rPr>
        <w:t xml:space="preserve"> </w:t>
      </w:r>
      <w:r w:rsidR="00EA4384" w:rsidRPr="00061F78">
        <w:rPr>
          <w:rFonts w:ascii="Arial" w:hAnsi="Arial" w:cs="Arial"/>
          <w:color w:val="000000"/>
          <w:sz w:val="20"/>
          <w:szCs w:val="20"/>
        </w:rPr>
        <w:t>during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the initial evaluation and each follow-up evaluation. </w:t>
      </w:r>
      <w:r w:rsidR="00EA4384">
        <w:rPr>
          <w:rFonts w:ascii="Arial" w:hAnsi="Arial" w:cs="Arial"/>
          <w:color w:val="000000"/>
          <w:sz w:val="20"/>
          <w:szCs w:val="20"/>
        </w:rPr>
        <w:t xml:space="preserve">The Graded 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Symptom Checklist can be performed over the phone for follow-up evaluations if necessary. </w:t>
      </w:r>
    </w:p>
    <w:p w:rsidR="00261796" w:rsidRPr="00061F78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661081" w:rsidRDefault="00257E84" w:rsidP="00257E84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 xml:space="preserve">Once the athlete has been asymptomatic for at least 24 hours, the athlete </w:t>
      </w:r>
      <w:r w:rsidR="00661081">
        <w:rPr>
          <w:rFonts w:ascii="Arial" w:hAnsi="Arial" w:cs="Arial"/>
          <w:sz w:val="20"/>
          <w:szCs w:val="20"/>
        </w:rPr>
        <w:t>will be reassessed with the SCAT5</w:t>
      </w:r>
      <w:r w:rsidR="00C91AD9">
        <w:rPr>
          <w:rFonts w:ascii="Arial" w:hAnsi="Arial" w:cs="Arial"/>
          <w:sz w:val="20"/>
          <w:szCs w:val="20"/>
        </w:rPr>
        <w:t>.</w:t>
      </w:r>
      <w:r w:rsidRPr="00061F78">
        <w:rPr>
          <w:rFonts w:ascii="Arial" w:hAnsi="Arial" w:cs="Arial"/>
          <w:sz w:val="20"/>
          <w:szCs w:val="20"/>
        </w:rPr>
        <w:t xml:space="preserve"> </w:t>
      </w:r>
      <w:r w:rsidR="00C91AD9">
        <w:rPr>
          <w:rFonts w:ascii="Arial" w:hAnsi="Arial" w:cs="Arial"/>
          <w:sz w:val="20"/>
          <w:szCs w:val="20"/>
        </w:rPr>
        <w:t xml:space="preserve">Once the </w:t>
      </w:r>
      <w:r w:rsidR="00C91AD9" w:rsidRPr="00061F78">
        <w:rPr>
          <w:rFonts w:ascii="Arial" w:hAnsi="Arial" w:cs="Arial"/>
          <w:sz w:val="20"/>
          <w:szCs w:val="20"/>
        </w:rPr>
        <w:t xml:space="preserve">assessment </w:t>
      </w:r>
      <w:r w:rsidR="00C91AD9">
        <w:rPr>
          <w:rFonts w:ascii="Arial" w:hAnsi="Arial" w:cs="Arial"/>
          <w:sz w:val="20"/>
          <w:szCs w:val="20"/>
        </w:rPr>
        <w:t xml:space="preserve">reveals </w:t>
      </w:r>
      <w:r w:rsidR="00C91AD9" w:rsidRPr="00061F78">
        <w:rPr>
          <w:rFonts w:ascii="Arial" w:hAnsi="Arial" w:cs="Arial"/>
          <w:sz w:val="20"/>
          <w:szCs w:val="20"/>
        </w:rPr>
        <w:t>an improvement from the initial post-injury SCAT</w:t>
      </w:r>
      <w:r w:rsidR="00661081">
        <w:rPr>
          <w:rFonts w:ascii="Arial" w:hAnsi="Arial" w:cs="Arial"/>
          <w:sz w:val="20"/>
          <w:szCs w:val="20"/>
        </w:rPr>
        <w:t>5</w:t>
      </w:r>
      <w:r w:rsidR="00C91AD9">
        <w:rPr>
          <w:rFonts w:ascii="Arial" w:hAnsi="Arial" w:cs="Arial"/>
          <w:sz w:val="20"/>
          <w:szCs w:val="20"/>
        </w:rPr>
        <w:t xml:space="preserve">, </w:t>
      </w:r>
      <w:r w:rsidR="00C32472" w:rsidRPr="00061F78">
        <w:rPr>
          <w:rFonts w:ascii="Arial" w:hAnsi="Arial" w:cs="Arial"/>
          <w:sz w:val="20"/>
          <w:szCs w:val="20"/>
        </w:rPr>
        <w:t xml:space="preserve">the graduated return to </w:t>
      </w:r>
      <w:r w:rsidR="0026154D">
        <w:rPr>
          <w:rFonts w:ascii="Arial" w:hAnsi="Arial" w:cs="Arial"/>
          <w:sz w:val="20"/>
          <w:szCs w:val="20"/>
        </w:rPr>
        <w:t>sport strategy</w:t>
      </w:r>
      <w:r w:rsidR="00C32472" w:rsidRPr="00061F78">
        <w:rPr>
          <w:rFonts w:ascii="Arial" w:hAnsi="Arial" w:cs="Arial"/>
          <w:sz w:val="20"/>
          <w:szCs w:val="20"/>
        </w:rPr>
        <w:t xml:space="preserve"> </w:t>
      </w:r>
      <w:r w:rsidR="00C91AD9">
        <w:rPr>
          <w:rFonts w:ascii="Arial" w:hAnsi="Arial" w:cs="Arial"/>
          <w:sz w:val="20"/>
          <w:szCs w:val="20"/>
        </w:rPr>
        <w:t>may begin</w:t>
      </w:r>
      <w:r w:rsidR="00C32472" w:rsidRPr="00061F78">
        <w:rPr>
          <w:rFonts w:ascii="Arial" w:hAnsi="Arial" w:cs="Arial"/>
          <w:sz w:val="20"/>
          <w:szCs w:val="20"/>
        </w:rPr>
        <w:t xml:space="preserve">. </w:t>
      </w:r>
      <w:r w:rsidRPr="00061F78">
        <w:rPr>
          <w:rFonts w:ascii="Arial" w:hAnsi="Arial" w:cs="Arial"/>
          <w:sz w:val="20"/>
          <w:szCs w:val="20"/>
        </w:rPr>
        <w:t xml:space="preserve"> </w:t>
      </w:r>
    </w:p>
    <w:p w:rsidR="00661081" w:rsidRDefault="00661081" w:rsidP="00661081">
      <w:pPr>
        <w:pStyle w:val="ListParagraph"/>
        <w:rPr>
          <w:rFonts w:ascii="Arial" w:hAnsi="Arial" w:cs="Arial"/>
          <w:sz w:val="20"/>
          <w:szCs w:val="20"/>
        </w:rPr>
      </w:pPr>
    </w:p>
    <w:p w:rsidR="00661081" w:rsidRDefault="00661081" w:rsidP="00257E84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an asymptomatic GSC and an improved SCAT5, a Vestibular/Ocular-Motor Screening (VOMS) must also be completed prior to Step 4 of the gra</w:t>
      </w:r>
      <w:r w:rsidR="0017694E">
        <w:rPr>
          <w:rFonts w:ascii="Arial" w:hAnsi="Arial" w:cs="Arial"/>
          <w:sz w:val="20"/>
          <w:szCs w:val="20"/>
        </w:rPr>
        <w:t xml:space="preserve">duated return to </w:t>
      </w:r>
      <w:r w:rsidR="0026154D">
        <w:rPr>
          <w:rFonts w:ascii="Arial" w:hAnsi="Arial" w:cs="Arial"/>
          <w:sz w:val="20"/>
          <w:szCs w:val="20"/>
        </w:rPr>
        <w:t>sport strategy</w:t>
      </w:r>
      <w:r w:rsidR="0017694E">
        <w:rPr>
          <w:rFonts w:ascii="Arial" w:hAnsi="Arial" w:cs="Arial"/>
          <w:sz w:val="20"/>
          <w:szCs w:val="20"/>
        </w:rPr>
        <w:t xml:space="preserve"> in order to further support the RTP decision-making process.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1081" w:rsidRDefault="00661081" w:rsidP="00661081">
      <w:pPr>
        <w:pStyle w:val="ListParagraph"/>
        <w:rPr>
          <w:rFonts w:ascii="Arial" w:hAnsi="Arial" w:cs="Arial"/>
          <w:sz w:val="20"/>
          <w:szCs w:val="20"/>
        </w:rPr>
      </w:pPr>
    </w:p>
    <w:p w:rsidR="0040196D" w:rsidRPr="0040196D" w:rsidRDefault="00257E84" w:rsidP="0040196D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>All mTBI athletes will undergo at least one additional SCAT</w:t>
      </w:r>
      <w:r w:rsidR="00661081">
        <w:rPr>
          <w:rFonts w:ascii="Arial" w:hAnsi="Arial" w:cs="Arial"/>
          <w:sz w:val="20"/>
          <w:szCs w:val="20"/>
        </w:rPr>
        <w:t>5</w:t>
      </w:r>
      <w:r w:rsidRPr="00061F78">
        <w:rPr>
          <w:rFonts w:ascii="Arial" w:hAnsi="Arial" w:cs="Arial"/>
          <w:sz w:val="20"/>
          <w:szCs w:val="20"/>
        </w:rPr>
        <w:t xml:space="preserve"> assessment </w:t>
      </w:r>
      <w:r w:rsidR="00C91AD9">
        <w:rPr>
          <w:rFonts w:ascii="Arial" w:hAnsi="Arial" w:cs="Arial"/>
          <w:sz w:val="20"/>
          <w:szCs w:val="20"/>
        </w:rPr>
        <w:t xml:space="preserve">upon </w:t>
      </w:r>
      <w:r w:rsidR="00C32472" w:rsidRPr="00061F78">
        <w:rPr>
          <w:rFonts w:ascii="Arial" w:hAnsi="Arial" w:cs="Arial"/>
          <w:sz w:val="20"/>
          <w:szCs w:val="20"/>
        </w:rPr>
        <w:t xml:space="preserve">completion of the graduated return to </w:t>
      </w:r>
      <w:r w:rsidR="0026154D">
        <w:rPr>
          <w:rFonts w:ascii="Arial" w:hAnsi="Arial" w:cs="Arial"/>
          <w:sz w:val="20"/>
          <w:szCs w:val="20"/>
        </w:rPr>
        <w:t>sport strategy</w:t>
      </w:r>
      <w:r w:rsidR="00C32472" w:rsidRPr="00061F78">
        <w:rPr>
          <w:rFonts w:ascii="Arial" w:hAnsi="Arial" w:cs="Arial"/>
          <w:sz w:val="20"/>
          <w:szCs w:val="20"/>
        </w:rPr>
        <w:t>.</w:t>
      </w:r>
    </w:p>
    <w:p w:rsidR="000B108F" w:rsidRDefault="000B108F">
      <w:pPr>
        <w:pStyle w:val="ListParagraph"/>
        <w:rPr>
          <w:rFonts w:ascii="Arial" w:hAnsi="Arial" w:cs="Arial"/>
          <w:sz w:val="20"/>
          <w:szCs w:val="20"/>
        </w:rPr>
      </w:pPr>
    </w:p>
    <w:p w:rsidR="008B799B" w:rsidRDefault="008B799B" w:rsidP="008B79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Graduated return-to-sport strategy</w:t>
      </w:r>
    </w:p>
    <w:p w:rsidR="008B799B" w:rsidRDefault="008B799B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61"/>
        <w:gridCol w:w="2677"/>
        <w:gridCol w:w="4831"/>
        <w:gridCol w:w="2747"/>
      </w:tblGrid>
      <w:tr w:rsidR="008B799B" w:rsidRPr="005B58F9" w:rsidTr="00611B28"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799B" w:rsidRPr="005B58F9" w:rsidRDefault="008B799B" w:rsidP="00611B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2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799B" w:rsidRPr="005B58F9" w:rsidRDefault="008B799B" w:rsidP="00611B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Aim</w:t>
            </w:r>
          </w:p>
        </w:tc>
        <w:tc>
          <w:tcPr>
            <w:tcW w:w="4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799B" w:rsidRPr="005B58F9" w:rsidRDefault="008B799B" w:rsidP="00611B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799B" w:rsidRPr="005B58F9" w:rsidRDefault="008B799B" w:rsidP="00611B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Goal of each step </w:t>
            </w:r>
          </w:p>
        </w:tc>
      </w:tr>
      <w:tr w:rsidR="008B799B" w:rsidRPr="005B58F9" w:rsidTr="00611B28">
        <w:tc>
          <w:tcPr>
            <w:tcW w:w="761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Symptom-limited activity</w:t>
            </w:r>
          </w:p>
        </w:tc>
        <w:tc>
          <w:tcPr>
            <w:tcW w:w="4831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Daily activities that do not provoke symptoms</w:t>
            </w:r>
          </w:p>
        </w:tc>
        <w:tc>
          <w:tcPr>
            <w:tcW w:w="2747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Gradual reintroduction of work/school activities</w:t>
            </w:r>
          </w:p>
        </w:tc>
      </w:tr>
      <w:tr w:rsidR="008B799B" w:rsidRPr="005B58F9" w:rsidTr="00611B28">
        <w:tc>
          <w:tcPr>
            <w:tcW w:w="761" w:type="dxa"/>
          </w:tcPr>
          <w:p w:rsidR="008B799B" w:rsidRPr="005B58F9" w:rsidRDefault="008B799B" w:rsidP="00611B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Light aerobic exercise</w:t>
            </w:r>
          </w:p>
        </w:tc>
        <w:tc>
          <w:tcPr>
            <w:tcW w:w="4831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Walking or stationary cycling at a slow to medium pace. NO resistance training</w:t>
            </w:r>
          </w:p>
        </w:tc>
        <w:tc>
          <w:tcPr>
            <w:tcW w:w="2747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Increase heart rate</w:t>
            </w:r>
          </w:p>
        </w:tc>
      </w:tr>
      <w:tr w:rsidR="008B799B" w:rsidRPr="005B58F9" w:rsidTr="00611B28">
        <w:tc>
          <w:tcPr>
            <w:tcW w:w="761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Sport-specific exercise</w:t>
            </w:r>
          </w:p>
        </w:tc>
        <w:tc>
          <w:tcPr>
            <w:tcW w:w="4831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Running or skating drills. NO head impact activities</w:t>
            </w:r>
          </w:p>
        </w:tc>
        <w:tc>
          <w:tcPr>
            <w:tcW w:w="2747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Add movement</w:t>
            </w:r>
          </w:p>
        </w:tc>
      </w:tr>
      <w:tr w:rsidR="008B799B" w:rsidRPr="005B58F9" w:rsidTr="00611B28">
        <w:tc>
          <w:tcPr>
            <w:tcW w:w="761" w:type="dxa"/>
          </w:tcPr>
          <w:p w:rsidR="008B799B" w:rsidRPr="005B58F9" w:rsidRDefault="008B799B" w:rsidP="00611B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7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Non-contact training drills</w:t>
            </w:r>
          </w:p>
        </w:tc>
        <w:tc>
          <w:tcPr>
            <w:tcW w:w="4831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Harder training drills, eg. Passing drills. My start progressive resistance training</w:t>
            </w:r>
          </w:p>
        </w:tc>
        <w:tc>
          <w:tcPr>
            <w:tcW w:w="2747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Exercise, coordination and increased thinking</w:t>
            </w:r>
          </w:p>
        </w:tc>
      </w:tr>
      <w:tr w:rsidR="008B799B" w:rsidRPr="005B58F9" w:rsidTr="00611B28">
        <w:tc>
          <w:tcPr>
            <w:tcW w:w="761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7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 xml:space="preserve">Full contact practice </w:t>
            </w:r>
          </w:p>
        </w:tc>
        <w:tc>
          <w:tcPr>
            <w:tcW w:w="4831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Following medical clearance, participate in normal training activities</w:t>
            </w:r>
          </w:p>
        </w:tc>
        <w:tc>
          <w:tcPr>
            <w:tcW w:w="2747" w:type="dxa"/>
            <w:tcBorders>
              <w:left w:val="nil"/>
              <w:right w:val="nil"/>
            </w:tcBorders>
            <w:shd w:val="clear" w:color="auto" w:fill="C0C0C0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Restore confidence and assess functional skills by coaching staff</w:t>
            </w:r>
          </w:p>
        </w:tc>
      </w:tr>
      <w:tr w:rsidR="008B799B" w:rsidRPr="005B58F9" w:rsidTr="00611B28">
        <w:tc>
          <w:tcPr>
            <w:tcW w:w="761" w:type="dxa"/>
          </w:tcPr>
          <w:p w:rsidR="008B799B" w:rsidRPr="005B58F9" w:rsidRDefault="008B799B" w:rsidP="00611B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7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Return to sport</w:t>
            </w:r>
          </w:p>
        </w:tc>
        <w:tc>
          <w:tcPr>
            <w:tcW w:w="4831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F9">
              <w:rPr>
                <w:rFonts w:ascii="Arial" w:hAnsi="Arial" w:cs="Arial"/>
                <w:color w:val="000000"/>
                <w:sz w:val="20"/>
                <w:szCs w:val="20"/>
              </w:rPr>
              <w:t>Normal game play</w:t>
            </w:r>
          </w:p>
        </w:tc>
        <w:tc>
          <w:tcPr>
            <w:tcW w:w="2747" w:type="dxa"/>
          </w:tcPr>
          <w:p w:rsidR="008B799B" w:rsidRPr="005B58F9" w:rsidRDefault="008B799B" w:rsidP="00611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108F" w:rsidRDefault="000B108F">
      <w:pPr>
        <w:ind w:left="720"/>
        <w:rPr>
          <w:rFonts w:ascii="Arial" w:hAnsi="Arial" w:cs="Arial"/>
          <w:sz w:val="20"/>
          <w:szCs w:val="20"/>
        </w:rPr>
      </w:pPr>
    </w:p>
    <w:p w:rsidR="00261796" w:rsidRPr="00061F78" w:rsidRDefault="00261796" w:rsidP="00261796">
      <w:pPr>
        <w:ind w:left="720"/>
        <w:rPr>
          <w:rFonts w:ascii="Arial" w:hAnsi="Arial" w:cs="Arial"/>
          <w:sz w:val="20"/>
          <w:szCs w:val="20"/>
        </w:rPr>
      </w:pPr>
    </w:p>
    <w:p w:rsidR="00261796" w:rsidRPr="00061F78" w:rsidRDefault="00261796" w:rsidP="00261796">
      <w:pPr>
        <w:ind w:left="1440"/>
        <w:rPr>
          <w:rFonts w:ascii="Arial" w:hAnsi="Arial" w:cs="Arial"/>
          <w:sz w:val="20"/>
          <w:szCs w:val="20"/>
        </w:rPr>
      </w:pPr>
    </w:p>
    <w:p w:rsidR="0040196D" w:rsidRPr="0040196D" w:rsidRDefault="0040196D" w:rsidP="0040196D">
      <w:pPr>
        <w:ind w:left="720"/>
        <w:rPr>
          <w:rFonts w:ascii="Arial" w:hAnsi="Arial" w:cs="Arial"/>
          <w:sz w:val="20"/>
          <w:szCs w:val="20"/>
        </w:rPr>
      </w:pPr>
    </w:p>
    <w:p w:rsidR="007D20D2" w:rsidRDefault="00B70421" w:rsidP="00257E84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event of excessive symptoms, extended duration of symptoms or difficulty during the </w:t>
      </w:r>
      <w:r w:rsidR="007D20D2">
        <w:rPr>
          <w:rFonts w:ascii="Arial" w:hAnsi="Arial" w:cs="Arial"/>
          <w:sz w:val="20"/>
          <w:szCs w:val="20"/>
        </w:rPr>
        <w:t xml:space="preserve">graduated return to </w:t>
      </w:r>
      <w:r w:rsidR="0026154D">
        <w:rPr>
          <w:rFonts w:ascii="Arial" w:hAnsi="Arial" w:cs="Arial"/>
          <w:sz w:val="20"/>
          <w:szCs w:val="20"/>
        </w:rPr>
        <w:t>sport</w:t>
      </w:r>
      <w:r w:rsidR="007D20D2">
        <w:rPr>
          <w:rFonts w:ascii="Arial" w:hAnsi="Arial" w:cs="Arial"/>
          <w:sz w:val="20"/>
          <w:szCs w:val="20"/>
        </w:rPr>
        <w:t xml:space="preserve"> process athletes may be referred to another concussion specialist for assessment.</w:t>
      </w:r>
    </w:p>
    <w:p w:rsidR="004841DC" w:rsidRDefault="004841DC" w:rsidP="004841DC">
      <w:pPr>
        <w:ind w:left="720"/>
        <w:rPr>
          <w:rFonts w:ascii="Arial" w:hAnsi="Arial" w:cs="Arial"/>
          <w:sz w:val="20"/>
          <w:szCs w:val="20"/>
        </w:rPr>
      </w:pPr>
    </w:p>
    <w:p w:rsidR="00257E84" w:rsidRDefault="00257E84" w:rsidP="00257E84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>Athletes returning to activity should be closely monitored in order to make appropriate decisions on progressing or regressing activity level.</w:t>
      </w:r>
    </w:p>
    <w:p w:rsidR="00261796" w:rsidRPr="00061F78" w:rsidRDefault="00261796" w:rsidP="00261796">
      <w:pPr>
        <w:ind w:left="720"/>
        <w:rPr>
          <w:rFonts w:ascii="Arial" w:hAnsi="Arial" w:cs="Arial"/>
          <w:sz w:val="20"/>
          <w:szCs w:val="20"/>
        </w:rPr>
      </w:pPr>
    </w:p>
    <w:p w:rsidR="00C91AD9" w:rsidRDefault="00E17297" w:rsidP="00257E84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C91AD9">
        <w:rPr>
          <w:rFonts w:ascii="Arial" w:hAnsi="Arial" w:cs="Arial"/>
          <w:sz w:val="20"/>
          <w:szCs w:val="20"/>
        </w:rPr>
        <w:t>If an a</w:t>
      </w:r>
      <w:r w:rsidR="00257E84" w:rsidRPr="00C91AD9">
        <w:rPr>
          <w:rFonts w:ascii="Arial" w:hAnsi="Arial" w:cs="Arial"/>
          <w:sz w:val="20"/>
          <w:szCs w:val="20"/>
        </w:rPr>
        <w:t>thlete</w:t>
      </w:r>
      <w:r w:rsidRPr="00C91AD9">
        <w:rPr>
          <w:rFonts w:ascii="Arial" w:hAnsi="Arial" w:cs="Arial"/>
          <w:sz w:val="20"/>
          <w:szCs w:val="20"/>
        </w:rPr>
        <w:t xml:space="preserve"> </w:t>
      </w:r>
      <w:r w:rsidR="00257E84" w:rsidRPr="00C91AD9">
        <w:rPr>
          <w:rFonts w:ascii="Arial" w:hAnsi="Arial" w:cs="Arial"/>
          <w:sz w:val="20"/>
          <w:szCs w:val="20"/>
        </w:rPr>
        <w:t>develop</w:t>
      </w:r>
      <w:r w:rsidRPr="00C91AD9">
        <w:rPr>
          <w:rFonts w:ascii="Arial" w:hAnsi="Arial" w:cs="Arial"/>
          <w:sz w:val="20"/>
          <w:szCs w:val="20"/>
        </w:rPr>
        <w:t>s</w:t>
      </w:r>
      <w:r w:rsidR="00257E84" w:rsidRPr="00C91AD9">
        <w:rPr>
          <w:rFonts w:ascii="Arial" w:hAnsi="Arial" w:cs="Arial"/>
          <w:sz w:val="20"/>
          <w:szCs w:val="20"/>
        </w:rPr>
        <w:t xml:space="preserve"> symptoms during a graduated return to </w:t>
      </w:r>
      <w:r w:rsidR="0026154D">
        <w:rPr>
          <w:rFonts w:ascii="Arial" w:hAnsi="Arial" w:cs="Arial"/>
          <w:sz w:val="20"/>
          <w:szCs w:val="20"/>
        </w:rPr>
        <w:t>sport strategy</w:t>
      </w:r>
      <w:r w:rsidR="003A68D4" w:rsidRPr="00C91AD9">
        <w:rPr>
          <w:rFonts w:ascii="Arial" w:hAnsi="Arial" w:cs="Arial"/>
          <w:sz w:val="20"/>
          <w:szCs w:val="20"/>
        </w:rPr>
        <w:t xml:space="preserve">, the activity for that day will cease and resume </w:t>
      </w:r>
      <w:r w:rsidR="00C91AD9" w:rsidRPr="00C91AD9">
        <w:rPr>
          <w:rFonts w:ascii="Arial" w:hAnsi="Arial" w:cs="Arial"/>
          <w:sz w:val="20"/>
          <w:szCs w:val="20"/>
        </w:rPr>
        <w:t>the next day as long as the athlete presents</w:t>
      </w:r>
      <w:r w:rsidR="003A68D4" w:rsidRPr="00C91AD9">
        <w:rPr>
          <w:rFonts w:ascii="Arial" w:hAnsi="Arial" w:cs="Arial"/>
          <w:sz w:val="20"/>
          <w:szCs w:val="20"/>
        </w:rPr>
        <w:t xml:space="preserve"> asymptomatic</w:t>
      </w:r>
      <w:r w:rsidR="00C91AD9">
        <w:rPr>
          <w:rFonts w:ascii="Arial" w:hAnsi="Arial" w:cs="Arial"/>
          <w:sz w:val="20"/>
          <w:szCs w:val="20"/>
        </w:rPr>
        <w:t>.</w:t>
      </w:r>
    </w:p>
    <w:p w:rsidR="00261796" w:rsidRPr="00061F78" w:rsidRDefault="00261796" w:rsidP="00261796">
      <w:pPr>
        <w:ind w:left="720"/>
        <w:rPr>
          <w:rFonts w:ascii="Arial" w:hAnsi="Arial" w:cs="Arial"/>
          <w:sz w:val="20"/>
          <w:szCs w:val="20"/>
        </w:rPr>
      </w:pPr>
    </w:p>
    <w:p w:rsidR="007A5A1D" w:rsidRPr="002D73B7" w:rsidRDefault="00257E84" w:rsidP="002D73B7">
      <w:pPr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>The AT will document all evaluation findings and management, as well as report all head injuries to appropriate school personnel</w:t>
      </w:r>
      <w:r w:rsidR="00C91AD9">
        <w:rPr>
          <w:rFonts w:ascii="Arial" w:hAnsi="Arial" w:cs="Arial"/>
          <w:color w:val="000000"/>
          <w:sz w:val="20"/>
          <w:szCs w:val="20"/>
        </w:rPr>
        <w:t>.</w:t>
      </w:r>
    </w:p>
    <w:p w:rsidR="007A5A1D" w:rsidRPr="007A5A1D" w:rsidRDefault="007A5A1D" w:rsidP="007A5A1D">
      <w:pPr>
        <w:ind w:left="720"/>
        <w:rPr>
          <w:rFonts w:ascii="Arial" w:hAnsi="Arial" w:cs="Arial"/>
          <w:sz w:val="20"/>
          <w:szCs w:val="20"/>
        </w:rPr>
      </w:pPr>
    </w:p>
    <w:p w:rsidR="00456AE8" w:rsidRPr="00061F78" w:rsidRDefault="00456AE8" w:rsidP="00456AE8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>Prior to returning to full, unrestricted sport activity, athletes must:</w:t>
      </w:r>
    </w:p>
    <w:p w:rsidR="00456AE8" w:rsidRPr="00061F78" w:rsidRDefault="00456AE8" w:rsidP="00456AE8">
      <w:pPr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 xml:space="preserve">Be asymptomatic for a minimum of </w:t>
      </w:r>
      <w:r w:rsidR="00D00709">
        <w:rPr>
          <w:rFonts w:ascii="Arial" w:hAnsi="Arial" w:cs="Arial"/>
          <w:sz w:val="20"/>
          <w:szCs w:val="20"/>
        </w:rPr>
        <w:t>five</w:t>
      </w:r>
      <w:r w:rsidRPr="00061F78">
        <w:rPr>
          <w:rFonts w:ascii="Arial" w:hAnsi="Arial" w:cs="Arial"/>
          <w:sz w:val="20"/>
          <w:szCs w:val="20"/>
        </w:rPr>
        <w:t xml:space="preserve"> full days</w:t>
      </w:r>
    </w:p>
    <w:p w:rsidR="00456AE8" w:rsidRPr="00061F78" w:rsidRDefault="00456AE8" w:rsidP="00456AE8">
      <w:pPr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 xml:space="preserve">Successfully complete a graduated return to </w:t>
      </w:r>
      <w:r w:rsidR="0026154D">
        <w:rPr>
          <w:rFonts w:ascii="Arial" w:hAnsi="Arial" w:cs="Arial"/>
          <w:sz w:val="20"/>
          <w:szCs w:val="20"/>
        </w:rPr>
        <w:t>sport progression</w:t>
      </w:r>
    </w:p>
    <w:p w:rsidR="00456AE8" w:rsidRDefault="00456AE8" w:rsidP="00456AE8">
      <w:pPr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>Receive clearance from the on-site AT</w:t>
      </w:r>
    </w:p>
    <w:p w:rsidR="00261796" w:rsidRPr="00061F78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261796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456AE8" w:rsidRDefault="00456AE8" w:rsidP="00456AE8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>Middle school athletes suffering an mTBI should be treated more conservatively than older athletes.  They must be asymptomatic for seven days prior to initiating a gradua</w:t>
      </w:r>
      <w:r>
        <w:rPr>
          <w:rFonts w:ascii="Arial" w:hAnsi="Arial" w:cs="Arial"/>
          <w:sz w:val="20"/>
          <w:szCs w:val="20"/>
        </w:rPr>
        <w:t>ted</w:t>
      </w:r>
      <w:r w:rsidRPr="00061F78">
        <w:rPr>
          <w:rFonts w:ascii="Arial" w:hAnsi="Arial" w:cs="Arial"/>
          <w:sz w:val="20"/>
          <w:szCs w:val="20"/>
        </w:rPr>
        <w:t xml:space="preserve"> return to </w:t>
      </w:r>
      <w:r w:rsidR="0026154D">
        <w:rPr>
          <w:rFonts w:ascii="Arial" w:hAnsi="Arial" w:cs="Arial"/>
          <w:sz w:val="20"/>
          <w:szCs w:val="20"/>
        </w:rPr>
        <w:t>sport</w:t>
      </w:r>
      <w:r w:rsidRPr="00061F78">
        <w:rPr>
          <w:rFonts w:ascii="Arial" w:hAnsi="Arial" w:cs="Arial"/>
          <w:sz w:val="20"/>
          <w:szCs w:val="20"/>
        </w:rPr>
        <w:t xml:space="preserve"> progression.</w:t>
      </w:r>
      <w:r w:rsidR="00B70421">
        <w:rPr>
          <w:rFonts w:ascii="Arial" w:hAnsi="Arial" w:cs="Arial"/>
          <w:sz w:val="20"/>
          <w:szCs w:val="20"/>
        </w:rPr>
        <w:t xml:space="preserve"> </w:t>
      </w:r>
      <w:r w:rsidR="007D20D2">
        <w:rPr>
          <w:rFonts w:ascii="Arial" w:hAnsi="Arial" w:cs="Arial"/>
          <w:sz w:val="20"/>
          <w:szCs w:val="20"/>
        </w:rPr>
        <w:t xml:space="preserve">Middle school athletes will be required to provide a note from a health care provider (MD/DO/PAC/LAT/ARNP/Neuropsychologist) before beginning a return to </w:t>
      </w:r>
      <w:r w:rsidR="0026154D">
        <w:rPr>
          <w:rFonts w:ascii="Arial" w:hAnsi="Arial" w:cs="Arial"/>
          <w:sz w:val="20"/>
          <w:szCs w:val="20"/>
        </w:rPr>
        <w:t>sport</w:t>
      </w:r>
      <w:r w:rsidR="007D20D2">
        <w:rPr>
          <w:rFonts w:ascii="Arial" w:hAnsi="Arial" w:cs="Arial"/>
          <w:sz w:val="20"/>
          <w:szCs w:val="20"/>
        </w:rPr>
        <w:t xml:space="preserve"> progression.</w:t>
      </w:r>
    </w:p>
    <w:p w:rsidR="00C5057E" w:rsidRDefault="00C5057E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261796" w:rsidRPr="00061F78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257E84" w:rsidRPr="00061F78" w:rsidRDefault="00257E84" w:rsidP="00257E84">
      <w:pPr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 xml:space="preserve">It will not usually be feasible to follow the above procedures for those athletes who are not members of a school contracting services with </w:t>
      </w:r>
      <w:r w:rsidR="000953DA" w:rsidRPr="00061F78">
        <w:rPr>
          <w:rFonts w:ascii="Arial" w:hAnsi="Arial" w:cs="Arial"/>
          <w:color w:val="000000"/>
          <w:sz w:val="20"/>
          <w:szCs w:val="20"/>
        </w:rPr>
        <w:t>Mercy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Sports Medicine. In these situations, the AT providing coverage will provide a thorough initial mTBI assessment. Utilization of t</w:t>
      </w:r>
      <w:r w:rsidR="00261796">
        <w:rPr>
          <w:rFonts w:ascii="Arial" w:hAnsi="Arial" w:cs="Arial"/>
          <w:color w:val="000000"/>
          <w:sz w:val="20"/>
          <w:szCs w:val="20"/>
        </w:rPr>
        <w:t>he SCAT</w:t>
      </w:r>
      <w:r w:rsidR="00661081">
        <w:rPr>
          <w:rFonts w:ascii="Arial" w:hAnsi="Arial" w:cs="Arial"/>
          <w:color w:val="000000"/>
          <w:sz w:val="20"/>
          <w:szCs w:val="20"/>
        </w:rPr>
        <w:t>5</w:t>
      </w:r>
      <w:r w:rsidR="00261796">
        <w:rPr>
          <w:rFonts w:ascii="Arial" w:hAnsi="Arial" w:cs="Arial"/>
          <w:color w:val="000000"/>
          <w:sz w:val="20"/>
          <w:szCs w:val="20"/>
        </w:rPr>
        <w:t xml:space="preserve"> will be at the discretion 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of the AT. Following the initial assessment, the AT should make the appropriate recommendations to the parent/guardian or responsible school personnel regarding home care and delayed/immediate referral.   </w:t>
      </w:r>
    </w:p>
    <w:p w:rsidR="00177304" w:rsidRDefault="00177304" w:rsidP="00257E84">
      <w:pPr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:rsidR="00257E84" w:rsidRPr="00061F78" w:rsidRDefault="00257E84" w:rsidP="00257E84">
      <w:pPr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061F78">
        <w:rPr>
          <w:rFonts w:ascii="Arial" w:hAnsi="Arial" w:cs="Arial"/>
          <w:b/>
          <w:color w:val="000000"/>
          <w:sz w:val="20"/>
          <w:szCs w:val="20"/>
        </w:rPr>
        <w:t>Additional comments:</w:t>
      </w:r>
    </w:p>
    <w:p w:rsidR="00257E84" w:rsidRDefault="00257E84" w:rsidP="00257E84">
      <w:pPr>
        <w:numPr>
          <w:ilvl w:val="0"/>
          <w:numId w:val="37"/>
        </w:num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 xml:space="preserve">Loss of consciousness is not a good indicator of return to </w:t>
      </w:r>
      <w:r w:rsidR="0026154D">
        <w:rPr>
          <w:rFonts w:ascii="Arial" w:hAnsi="Arial" w:cs="Arial"/>
          <w:color w:val="000000"/>
          <w:sz w:val="20"/>
          <w:szCs w:val="20"/>
        </w:rPr>
        <w:t>sport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determination.</w:t>
      </w:r>
    </w:p>
    <w:p w:rsidR="00261796" w:rsidRPr="00061F78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257E84" w:rsidRDefault="00257E84" w:rsidP="00257E84">
      <w:pPr>
        <w:numPr>
          <w:ilvl w:val="0"/>
          <w:numId w:val="37"/>
        </w:numPr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 xml:space="preserve">Notify </w:t>
      </w:r>
      <w:r w:rsidR="000953DA" w:rsidRPr="00061F78">
        <w:rPr>
          <w:rFonts w:ascii="Arial" w:hAnsi="Arial" w:cs="Arial"/>
          <w:color w:val="000000"/>
          <w:sz w:val="20"/>
          <w:szCs w:val="20"/>
        </w:rPr>
        <w:t>Mercy</w:t>
      </w:r>
      <w:r w:rsidRPr="00061F78">
        <w:rPr>
          <w:rFonts w:ascii="Arial" w:hAnsi="Arial" w:cs="Arial"/>
          <w:color w:val="000000"/>
          <w:sz w:val="20"/>
          <w:szCs w:val="20"/>
        </w:rPr>
        <w:t xml:space="preserve"> Sports Medicine administration and school administration of any situation that does not comply with the above guidelines. </w:t>
      </w:r>
    </w:p>
    <w:p w:rsidR="00261796" w:rsidRPr="00061F78" w:rsidRDefault="00261796" w:rsidP="0026179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261796" w:rsidRPr="00061F78" w:rsidRDefault="00261796" w:rsidP="00261796">
      <w:pPr>
        <w:ind w:left="720"/>
        <w:rPr>
          <w:rFonts w:ascii="Arial" w:hAnsi="Arial" w:cs="Arial"/>
          <w:sz w:val="20"/>
          <w:szCs w:val="20"/>
        </w:rPr>
      </w:pPr>
    </w:p>
    <w:p w:rsidR="00257E84" w:rsidRPr="00061F78" w:rsidRDefault="00257E84" w:rsidP="00257E84">
      <w:pPr>
        <w:ind w:left="360"/>
        <w:rPr>
          <w:rFonts w:ascii="Arial" w:hAnsi="Arial" w:cs="Arial"/>
          <w:color w:val="FF0000"/>
          <w:sz w:val="20"/>
          <w:szCs w:val="20"/>
        </w:rPr>
      </w:pPr>
    </w:p>
    <w:p w:rsidR="00257E84" w:rsidRDefault="00257E84" w:rsidP="00257E84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color w:val="000000"/>
          <w:sz w:val="20"/>
          <w:szCs w:val="20"/>
        </w:rPr>
        <w:t xml:space="preserve">References:  </w:t>
      </w:r>
    </w:p>
    <w:p w:rsidR="0017694E" w:rsidRDefault="0017694E" w:rsidP="003C6691">
      <w:pPr>
        <w:pStyle w:val="ListParagraph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Mucha, et al. </w:t>
      </w:r>
      <w:r w:rsidRPr="0017694E">
        <w:rPr>
          <w:rFonts w:ascii="Arial" w:hAnsi="Arial" w:cs="Arial"/>
          <w:i/>
          <w:color w:val="000000"/>
          <w:sz w:val="20"/>
          <w:szCs w:val="20"/>
        </w:rPr>
        <w:t>A Brief Vestibular/Ocular Motor Screening (VOMS) assessment to evaluate concussions: preliminary findings. American Journal of Sports Medicine.</w:t>
      </w:r>
      <w:r>
        <w:rPr>
          <w:rFonts w:ascii="Arial" w:hAnsi="Arial" w:cs="Arial"/>
          <w:color w:val="000000"/>
          <w:sz w:val="20"/>
          <w:szCs w:val="20"/>
        </w:rPr>
        <w:t xml:space="preserve"> 8 Aug, 2014. </w:t>
      </w:r>
    </w:p>
    <w:p w:rsidR="0017694E" w:rsidRDefault="0017694E" w:rsidP="003C6691">
      <w:pPr>
        <w:pStyle w:val="ListParagraph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Consensus Statement on Concussion in Sport, 5</w:t>
      </w:r>
      <w:r w:rsidRPr="0017694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International Conference on Concussion in Sport, Berlin, Germany, Oct. 2016. </w:t>
      </w:r>
    </w:p>
    <w:p w:rsidR="003C6691" w:rsidRPr="003C6691" w:rsidRDefault="003C6691" w:rsidP="003C6691">
      <w:pPr>
        <w:pStyle w:val="ListParagraph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Consensus Statement on Concussion in Sport, 4</w:t>
      </w:r>
      <w:r w:rsidRPr="003C6691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International Conference on Concussion in Sport, Zurich, Switzerland, Nov. 2012</w:t>
      </w:r>
    </w:p>
    <w:p w:rsidR="00B37A6A" w:rsidRPr="00B37A6A" w:rsidRDefault="00257E84" w:rsidP="00261796">
      <w:pPr>
        <w:numPr>
          <w:ilvl w:val="0"/>
          <w:numId w:val="38"/>
        </w:numPr>
        <w:tabs>
          <w:tab w:val="clear" w:pos="1080"/>
          <w:tab w:val="num" w:pos="720"/>
        </w:tabs>
        <w:ind w:left="720"/>
        <w:rPr>
          <w:rFonts w:ascii="Arial" w:hAnsi="Arial" w:cs="Arial"/>
          <w:color w:val="000000"/>
          <w:sz w:val="20"/>
          <w:szCs w:val="20"/>
        </w:rPr>
      </w:pPr>
      <w:r w:rsidRPr="00061F78">
        <w:rPr>
          <w:rFonts w:ascii="Arial" w:hAnsi="Arial" w:cs="Arial"/>
          <w:sz w:val="20"/>
          <w:szCs w:val="20"/>
        </w:rPr>
        <w:t xml:space="preserve">National Athletic Trainer’s Association Position Statement:  Management of Sport-Related Concussion </w:t>
      </w:r>
      <w:r w:rsidR="00C1262F">
        <w:rPr>
          <w:rFonts w:ascii="Arial" w:hAnsi="Arial" w:cs="Arial"/>
          <w:sz w:val="20"/>
          <w:szCs w:val="20"/>
        </w:rPr>
        <w:t>20</w:t>
      </w:r>
      <w:r w:rsidR="00850310">
        <w:rPr>
          <w:rFonts w:ascii="Arial" w:hAnsi="Arial" w:cs="Arial"/>
          <w:sz w:val="20"/>
          <w:szCs w:val="20"/>
        </w:rPr>
        <w:t>1</w:t>
      </w:r>
      <w:r w:rsidR="00C1262F">
        <w:rPr>
          <w:rFonts w:ascii="Arial" w:hAnsi="Arial" w:cs="Arial"/>
          <w:sz w:val="20"/>
          <w:szCs w:val="20"/>
        </w:rPr>
        <w:t>4</w:t>
      </w:r>
    </w:p>
    <w:p w:rsidR="00257E84" w:rsidRPr="00061F78" w:rsidRDefault="00B37A6A" w:rsidP="00261796">
      <w:pPr>
        <w:numPr>
          <w:ilvl w:val="0"/>
          <w:numId w:val="38"/>
        </w:numPr>
        <w:tabs>
          <w:tab w:val="clear" w:pos="1080"/>
          <w:tab w:val="num" w:pos="72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Athletic Trainer’s Association Position Statement:  Preventing Sudden Death In Sports, February, 2012</w:t>
      </w:r>
      <w:r w:rsidR="00C1262F">
        <w:rPr>
          <w:rFonts w:ascii="Arial" w:hAnsi="Arial" w:cs="Arial"/>
          <w:sz w:val="20"/>
          <w:szCs w:val="20"/>
        </w:rPr>
        <w:t xml:space="preserve"> </w:t>
      </w:r>
    </w:p>
    <w:p w:rsidR="00257E84" w:rsidRPr="00061F78" w:rsidRDefault="00257E84" w:rsidP="000D6FF8">
      <w:pPr>
        <w:ind w:left="1080"/>
        <w:rPr>
          <w:color w:val="000000"/>
          <w:sz w:val="20"/>
          <w:szCs w:val="20"/>
        </w:rPr>
      </w:pPr>
    </w:p>
    <w:p w:rsidR="00C5057E" w:rsidRDefault="00C5057E" w:rsidP="00257E84">
      <w:pPr>
        <w:rPr>
          <w:i/>
          <w:color w:val="A6A6A6" w:themeColor="background1" w:themeShade="A6"/>
          <w:sz w:val="20"/>
          <w:szCs w:val="20"/>
        </w:rPr>
      </w:pPr>
    </w:p>
    <w:p w:rsidR="00C5057E" w:rsidRDefault="00C5057E" w:rsidP="00257E84">
      <w:pPr>
        <w:rPr>
          <w:i/>
          <w:color w:val="A6A6A6" w:themeColor="background1" w:themeShade="A6"/>
          <w:sz w:val="20"/>
          <w:szCs w:val="20"/>
        </w:rPr>
      </w:pPr>
    </w:p>
    <w:p w:rsidR="00C5057E" w:rsidRDefault="00C5057E" w:rsidP="00257E84">
      <w:pPr>
        <w:rPr>
          <w:i/>
          <w:color w:val="A6A6A6" w:themeColor="background1" w:themeShade="A6"/>
          <w:sz w:val="20"/>
          <w:szCs w:val="20"/>
        </w:rPr>
      </w:pPr>
    </w:p>
    <w:p w:rsidR="00C5057E" w:rsidRDefault="00C5057E" w:rsidP="00257E84">
      <w:pPr>
        <w:rPr>
          <w:i/>
          <w:color w:val="A6A6A6" w:themeColor="background1" w:themeShade="A6"/>
          <w:sz w:val="20"/>
          <w:szCs w:val="20"/>
        </w:rPr>
      </w:pPr>
    </w:p>
    <w:p w:rsidR="007C1685" w:rsidRDefault="007C1685" w:rsidP="004C5C37">
      <w:pPr>
        <w:rPr>
          <w:b/>
          <w:u w:val="single"/>
        </w:rPr>
      </w:pPr>
      <w:bookmarkStart w:id="0" w:name="_GoBack"/>
      <w:bookmarkEnd w:id="0"/>
    </w:p>
    <w:sectPr w:rsidR="007C1685" w:rsidSect="00FE1FF7">
      <w:headerReference w:type="default" r:id="rId8"/>
      <w:footerReference w:type="default" r:id="rId9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EE" w:rsidRDefault="00EA76EE">
      <w:r>
        <w:separator/>
      </w:r>
    </w:p>
  </w:endnote>
  <w:endnote w:type="continuationSeparator" w:id="0">
    <w:p w:rsidR="00EA76EE" w:rsidRDefault="00E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81" w:rsidRDefault="00661081">
    <w:pPr>
      <w:pStyle w:val="Footer"/>
      <w:jc w:val="right"/>
      <w:rPr>
        <w:rFonts w:ascii="Arial" w:hAnsi="Arial" w:cs="Arial"/>
        <w:i/>
        <w:color w:val="A6A6A6" w:themeColor="background1" w:themeShade="A6"/>
        <w:sz w:val="16"/>
        <w:szCs w:val="16"/>
      </w:rPr>
    </w:pPr>
    <w:r>
      <w:rPr>
        <w:rFonts w:ascii="Arial" w:hAnsi="Arial" w:cs="Arial"/>
        <w:i/>
        <w:color w:val="A6A6A6" w:themeColor="background1" w:themeShade="A6"/>
        <w:sz w:val="16"/>
        <w:szCs w:val="16"/>
      </w:rPr>
      <w:t>SGF – Updated – 7/2016</w:t>
    </w:r>
  </w:p>
  <w:p w:rsidR="0017694E" w:rsidRDefault="0017694E" w:rsidP="0017694E">
    <w:pPr>
      <w:pStyle w:val="Footer"/>
      <w:jc w:val="right"/>
      <w:rPr>
        <w:rFonts w:ascii="Arial" w:hAnsi="Arial" w:cs="Arial"/>
        <w:i/>
        <w:color w:val="A6A6A6" w:themeColor="background1" w:themeShade="A6"/>
        <w:sz w:val="16"/>
        <w:szCs w:val="16"/>
      </w:rPr>
    </w:pPr>
    <w:r>
      <w:rPr>
        <w:rFonts w:ascii="Arial" w:hAnsi="Arial" w:cs="Arial"/>
        <w:i/>
        <w:color w:val="A6A6A6" w:themeColor="background1" w:themeShade="A6"/>
        <w:sz w:val="16"/>
        <w:szCs w:val="16"/>
      </w:rPr>
      <w:t>Updated – 7/2017</w:t>
    </w:r>
  </w:p>
  <w:p w:rsidR="008F18E1" w:rsidRDefault="004C5C37" w:rsidP="0017694E">
    <w:pPr>
      <w:pStyle w:val="Footer"/>
      <w:jc w:val="right"/>
      <w:rPr>
        <w:rFonts w:ascii="Arial" w:hAnsi="Arial" w:cs="Arial"/>
        <w:i/>
        <w:color w:val="A6A6A6" w:themeColor="background1" w:themeShade="A6"/>
        <w:sz w:val="16"/>
        <w:szCs w:val="16"/>
      </w:rPr>
    </w:pPr>
    <w:r>
      <w:rPr>
        <w:rFonts w:ascii="Arial" w:hAnsi="Arial" w:cs="Arial"/>
        <w:i/>
        <w:color w:val="A6A6A6" w:themeColor="background1" w:themeShade="A6"/>
        <w:sz w:val="16"/>
        <w:szCs w:val="16"/>
      </w:rPr>
      <w:t xml:space="preserve">STL – </w:t>
    </w:r>
    <w:r w:rsidR="008F18E1">
      <w:rPr>
        <w:rFonts w:ascii="Arial" w:hAnsi="Arial" w:cs="Arial"/>
        <w:i/>
        <w:color w:val="A6A6A6" w:themeColor="background1" w:themeShade="A6"/>
        <w:sz w:val="16"/>
        <w:szCs w:val="16"/>
      </w:rPr>
      <w:t>Updated – 9/2017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EE" w:rsidRDefault="00EA76EE">
      <w:r>
        <w:separator/>
      </w:r>
    </w:p>
  </w:footnote>
  <w:footnote w:type="continuationSeparator" w:id="0">
    <w:p w:rsidR="00EA76EE" w:rsidRDefault="00EA7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81" w:rsidRDefault="00D40E1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0.55pt;margin-top:15.75pt;width:124.7pt;height:20.25pt;z-index:251658240;mso-width-relative:margin;mso-height-relative:margin" stroked="f">
          <v:textbox style="mso-next-textbox:#_x0000_s1029">
            <w:txbxContent>
              <w:p w:rsidR="00661081" w:rsidRDefault="00661081">
                <w:pPr>
                  <w:jc w:val="right"/>
                </w:pPr>
                <w:r w:rsidRPr="006D6091">
                  <w:rPr>
                    <w:rFonts w:ascii="Arial" w:hAnsi="Arial" w:cs="Arial"/>
                    <w:b/>
                    <w:color w:val="005A70"/>
                    <w:sz w:val="20"/>
                    <w:szCs w:val="20"/>
                  </w:rPr>
                  <w:t>Sports Medicine</w:t>
                </w:r>
              </w:p>
            </w:txbxContent>
          </v:textbox>
        </v:shape>
      </w:pict>
    </w:r>
    <w:r w:rsidR="00661081" w:rsidRPr="00061F78">
      <w:rPr>
        <w:noProof/>
      </w:rPr>
      <w:drawing>
        <wp:inline distT="0" distB="0" distL="0" distR="0">
          <wp:extent cx="1261872" cy="521827"/>
          <wp:effectExtent l="19050" t="0" r="0" b="0"/>
          <wp:docPr id="2" name="Picture 1" descr="final Refinements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Refinements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521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551"/>
    <w:multiLevelType w:val="hybridMultilevel"/>
    <w:tmpl w:val="41246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834A0"/>
    <w:multiLevelType w:val="hybridMultilevel"/>
    <w:tmpl w:val="4184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32F3"/>
    <w:multiLevelType w:val="hybridMultilevel"/>
    <w:tmpl w:val="4B4AB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64F5A"/>
    <w:multiLevelType w:val="hybridMultilevel"/>
    <w:tmpl w:val="42562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36C07"/>
    <w:multiLevelType w:val="hybridMultilevel"/>
    <w:tmpl w:val="15BE6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B747A"/>
    <w:multiLevelType w:val="hybridMultilevel"/>
    <w:tmpl w:val="D28AA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F59F2"/>
    <w:multiLevelType w:val="hybridMultilevel"/>
    <w:tmpl w:val="CDE698D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12F74737"/>
    <w:multiLevelType w:val="hybridMultilevel"/>
    <w:tmpl w:val="244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E7815"/>
    <w:multiLevelType w:val="hybridMultilevel"/>
    <w:tmpl w:val="41329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A6456"/>
    <w:multiLevelType w:val="hybridMultilevel"/>
    <w:tmpl w:val="8A1AA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4609F"/>
    <w:multiLevelType w:val="hybridMultilevel"/>
    <w:tmpl w:val="C2E44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56353"/>
    <w:multiLevelType w:val="hybridMultilevel"/>
    <w:tmpl w:val="7ADE3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02825"/>
    <w:multiLevelType w:val="hybridMultilevel"/>
    <w:tmpl w:val="405C9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90EF3"/>
    <w:multiLevelType w:val="hybridMultilevel"/>
    <w:tmpl w:val="F82C7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D291F"/>
    <w:multiLevelType w:val="hybridMultilevel"/>
    <w:tmpl w:val="94F63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927731"/>
    <w:multiLevelType w:val="hybridMultilevel"/>
    <w:tmpl w:val="E5EE8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76C00"/>
    <w:multiLevelType w:val="hybridMultilevel"/>
    <w:tmpl w:val="3B1AB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344E9"/>
    <w:multiLevelType w:val="hybridMultilevel"/>
    <w:tmpl w:val="3CC6D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F66FB"/>
    <w:multiLevelType w:val="hybridMultilevel"/>
    <w:tmpl w:val="32FEB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465E1"/>
    <w:multiLevelType w:val="hybridMultilevel"/>
    <w:tmpl w:val="87762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33CAB"/>
    <w:multiLevelType w:val="hybridMultilevel"/>
    <w:tmpl w:val="4892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33990"/>
    <w:multiLevelType w:val="multilevel"/>
    <w:tmpl w:val="3690B2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619475A"/>
    <w:multiLevelType w:val="hybridMultilevel"/>
    <w:tmpl w:val="CA584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1915"/>
    <w:multiLevelType w:val="hybridMultilevel"/>
    <w:tmpl w:val="29AAA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720083"/>
    <w:multiLevelType w:val="hybridMultilevel"/>
    <w:tmpl w:val="9FFC0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A01D1C"/>
    <w:multiLevelType w:val="hybridMultilevel"/>
    <w:tmpl w:val="8FCC2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551A65"/>
    <w:multiLevelType w:val="hybridMultilevel"/>
    <w:tmpl w:val="C7465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96933"/>
    <w:multiLevelType w:val="hybridMultilevel"/>
    <w:tmpl w:val="B6DC9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301AA"/>
    <w:multiLevelType w:val="hybridMultilevel"/>
    <w:tmpl w:val="33885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43A18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ED2656"/>
    <w:multiLevelType w:val="hybridMultilevel"/>
    <w:tmpl w:val="3422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23F62"/>
    <w:multiLevelType w:val="hybridMultilevel"/>
    <w:tmpl w:val="07D2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D2C5A"/>
    <w:multiLevelType w:val="hybridMultilevel"/>
    <w:tmpl w:val="C39C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602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9077A6"/>
    <w:multiLevelType w:val="hybridMultilevel"/>
    <w:tmpl w:val="39DE4E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752F64E4"/>
    <w:multiLevelType w:val="hybridMultilevel"/>
    <w:tmpl w:val="9850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525DF7"/>
    <w:multiLevelType w:val="hybridMultilevel"/>
    <w:tmpl w:val="E6FAA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ED63C8"/>
    <w:multiLevelType w:val="hybridMultilevel"/>
    <w:tmpl w:val="9E3CF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EE1CEF"/>
    <w:multiLevelType w:val="hybridMultilevel"/>
    <w:tmpl w:val="69CA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2C22C6"/>
    <w:multiLevelType w:val="hybridMultilevel"/>
    <w:tmpl w:val="72D4C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6"/>
  </w:num>
  <w:num w:numId="4">
    <w:abstractNumId w:val="17"/>
  </w:num>
  <w:num w:numId="5">
    <w:abstractNumId w:val="37"/>
  </w:num>
  <w:num w:numId="6">
    <w:abstractNumId w:val="31"/>
  </w:num>
  <w:num w:numId="7">
    <w:abstractNumId w:val="27"/>
  </w:num>
  <w:num w:numId="8">
    <w:abstractNumId w:val="9"/>
  </w:num>
  <w:num w:numId="9">
    <w:abstractNumId w:val="30"/>
  </w:num>
  <w:num w:numId="10">
    <w:abstractNumId w:val="3"/>
  </w:num>
  <w:num w:numId="11">
    <w:abstractNumId w:val="33"/>
  </w:num>
  <w:num w:numId="12">
    <w:abstractNumId w:val="34"/>
  </w:num>
  <w:num w:numId="13">
    <w:abstractNumId w:val="12"/>
  </w:num>
  <w:num w:numId="14">
    <w:abstractNumId w:val="35"/>
  </w:num>
  <w:num w:numId="15">
    <w:abstractNumId w:val="32"/>
  </w:num>
  <w:num w:numId="16">
    <w:abstractNumId w:val="6"/>
  </w:num>
  <w:num w:numId="17">
    <w:abstractNumId w:val="23"/>
  </w:num>
  <w:num w:numId="18">
    <w:abstractNumId w:val="28"/>
  </w:num>
  <w:num w:numId="19">
    <w:abstractNumId w:val="11"/>
  </w:num>
  <w:num w:numId="20">
    <w:abstractNumId w:val="25"/>
  </w:num>
  <w:num w:numId="21">
    <w:abstractNumId w:val="15"/>
  </w:num>
  <w:num w:numId="22">
    <w:abstractNumId w:val="5"/>
  </w:num>
  <w:num w:numId="23">
    <w:abstractNumId w:val="13"/>
  </w:num>
  <w:num w:numId="24">
    <w:abstractNumId w:val="20"/>
  </w:num>
  <w:num w:numId="25">
    <w:abstractNumId w:val="7"/>
  </w:num>
  <w:num w:numId="26">
    <w:abstractNumId w:val="19"/>
  </w:num>
  <w:num w:numId="27">
    <w:abstractNumId w:val="4"/>
  </w:num>
  <w:num w:numId="28">
    <w:abstractNumId w:val="14"/>
  </w:num>
  <w:num w:numId="29">
    <w:abstractNumId w:val="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6"/>
  </w:num>
  <w:num w:numId="33">
    <w:abstractNumId w:val="2"/>
  </w:num>
  <w:num w:numId="34">
    <w:abstractNumId w:val="18"/>
  </w:num>
  <w:num w:numId="35">
    <w:abstractNumId w:val="22"/>
  </w:num>
  <w:num w:numId="36">
    <w:abstractNumId w:val="26"/>
  </w:num>
  <w:num w:numId="37">
    <w:abstractNumId w:val="8"/>
  </w:num>
  <w:num w:numId="38">
    <w:abstractNumId w:val="2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1886"/>
    <w:rsid w:val="00027F84"/>
    <w:rsid w:val="00061F78"/>
    <w:rsid w:val="0007483B"/>
    <w:rsid w:val="000953DA"/>
    <w:rsid w:val="000B108F"/>
    <w:rsid w:val="000B5A34"/>
    <w:rsid w:val="000D4443"/>
    <w:rsid w:val="000D6FF8"/>
    <w:rsid w:val="00117D98"/>
    <w:rsid w:val="00133BAB"/>
    <w:rsid w:val="00144DDE"/>
    <w:rsid w:val="0017694E"/>
    <w:rsid w:val="00177304"/>
    <w:rsid w:val="001B5A52"/>
    <w:rsid w:val="001E5C58"/>
    <w:rsid w:val="002339EA"/>
    <w:rsid w:val="00257E84"/>
    <w:rsid w:val="0026154D"/>
    <w:rsid w:val="00261796"/>
    <w:rsid w:val="002622B1"/>
    <w:rsid w:val="00280974"/>
    <w:rsid w:val="002B4A6E"/>
    <w:rsid w:val="002D73B7"/>
    <w:rsid w:val="00373042"/>
    <w:rsid w:val="003A68D4"/>
    <w:rsid w:val="003C6691"/>
    <w:rsid w:val="004011DD"/>
    <w:rsid w:val="0040196D"/>
    <w:rsid w:val="00403665"/>
    <w:rsid w:val="00456AE8"/>
    <w:rsid w:val="00465AA0"/>
    <w:rsid w:val="00467999"/>
    <w:rsid w:val="00470B10"/>
    <w:rsid w:val="00471C93"/>
    <w:rsid w:val="004841DC"/>
    <w:rsid w:val="004A60BF"/>
    <w:rsid w:val="004C5C37"/>
    <w:rsid w:val="004D32D1"/>
    <w:rsid w:val="004E27C2"/>
    <w:rsid w:val="00526E52"/>
    <w:rsid w:val="00565D87"/>
    <w:rsid w:val="005B2BE7"/>
    <w:rsid w:val="00661081"/>
    <w:rsid w:val="00661F85"/>
    <w:rsid w:val="00680FAD"/>
    <w:rsid w:val="006C2685"/>
    <w:rsid w:val="006C6299"/>
    <w:rsid w:val="007211D2"/>
    <w:rsid w:val="00731FD3"/>
    <w:rsid w:val="00741886"/>
    <w:rsid w:val="00747419"/>
    <w:rsid w:val="00760AF7"/>
    <w:rsid w:val="007A25EA"/>
    <w:rsid w:val="007A5A1D"/>
    <w:rsid w:val="007B2827"/>
    <w:rsid w:val="007B4284"/>
    <w:rsid w:val="007B75AE"/>
    <w:rsid w:val="007C1685"/>
    <w:rsid w:val="007D20D2"/>
    <w:rsid w:val="00831776"/>
    <w:rsid w:val="00850310"/>
    <w:rsid w:val="00851786"/>
    <w:rsid w:val="00862ACF"/>
    <w:rsid w:val="008679E8"/>
    <w:rsid w:val="008B799B"/>
    <w:rsid w:val="008C517D"/>
    <w:rsid w:val="008F18E1"/>
    <w:rsid w:val="0094006D"/>
    <w:rsid w:val="009B0AF3"/>
    <w:rsid w:val="00A50335"/>
    <w:rsid w:val="00B33991"/>
    <w:rsid w:val="00B37A6A"/>
    <w:rsid w:val="00B70421"/>
    <w:rsid w:val="00BE29E6"/>
    <w:rsid w:val="00C1262F"/>
    <w:rsid w:val="00C32472"/>
    <w:rsid w:val="00C342AD"/>
    <w:rsid w:val="00C5057E"/>
    <w:rsid w:val="00C91AD9"/>
    <w:rsid w:val="00C91C5C"/>
    <w:rsid w:val="00C93BF6"/>
    <w:rsid w:val="00CB3297"/>
    <w:rsid w:val="00CF3A1B"/>
    <w:rsid w:val="00D00709"/>
    <w:rsid w:val="00D40E11"/>
    <w:rsid w:val="00DB74C4"/>
    <w:rsid w:val="00E0399C"/>
    <w:rsid w:val="00E06907"/>
    <w:rsid w:val="00E17297"/>
    <w:rsid w:val="00E17BB1"/>
    <w:rsid w:val="00EA4384"/>
    <w:rsid w:val="00EA76EE"/>
    <w:rsid w:val="00EB6E7C"/>
    <w:rsid w:val="00EF7A7A"/>
    <w:rsid w:val="00F55130"/>
    <w:rsid w:val="00FB471C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299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7C1685"/>
    <w:rPr>
      <w:rFonts w:eastAsia="Calibri"/>
      <w:sz w:val="24"/>
      <w:szCs w:val="22"/>
    </w:rPr>
  </w:style>
  <w:style w:type="paragraph" w:styleId="NormalWeb">
    <w:name w:val="Normal (Web)"/>
    <w:basedOn w:val="Normal"/>
    <w:rsid w:val="00FE1FF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E1FF7"/>
    <w:rPr>
      <w:b/>
      <w:bCs/>
    </w:rPr>
  </w:style>
  <w:style w:type="character" w:styleId="Hyperlink">
    <w:name w:val="Hyperlink"/>
    <w:basedOn w:val="DefaultParagraphFont"/>
    <w:uiPriority w:val="99"/>
    <w:rsid w:val="00257E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A50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3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CD82-700A-4C17-A18C-CF0DBA8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for Additional-Pay for Special Event Coverage</vt:lpstr>
    </vt:vector>
  </TitlesOfParts>
  <Company>SOMHS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Additional-Pay for Special Event Coverage</dc:title>
  <dc:creator>egb41047</dc:creator>
  <cp:lastModifiedBy>Trainer</cp:lastModifiedBy>
  <cp:revision>2</cp:revision>
  <dcterms:created xsi:type="dcterms:W3CDTF">2018-08-15T18:57:00Z</dcterms:created>
  <dcterms:modified xsi:type="dcterms:W3CDTF">2018-08-15T18:57:00Z</dcterms:modified>
</cp:coreProperties>
</file>